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EE3E0" w14:textId="2705550F" w:rsidR="008F38F5" w:rsidRPr="009957A4" w:rsidRDefault="001A67CD" w:rsidP="001A67CD">
      <w:pPr>
        <w:rPr>
          <w:b/>
          <w:bCs/>
          <w:color w:val="00B050"/>
          <w:sz w:val="30"/>
          <w:szCs w:val="30"/>
        </w:rPr>
      </w:pPr>
      <w:r w:rsidRPr="001A67CD">
        <w:rPr>
          <w:b/>
          <w:bCs/>
          <w:color w:val="C00000"/>
          <w:sz w:val="30"/>
          <w:szCs w:val="30"/>
        </w:rPr>
        <w:t>What's new in nephrology and hypertension</w:t>
      </w:r>
      <w:r w:rsidRPr="001A67CD">
        <w:rPr>
          <w:b/>
          <w:bCs/>
          <w:color w:val="C00000"/>
          <w:sz w:val="30"/>
          <w:szCs w:val="30"/>
        </w:rPr>
        <w:t xml:space="preserve">    </w:t>
      </w:r>
      <w:r w:rsidR="008F38F5" w:rsidRPr="00F448A9">
        <w:rPr>
          <w:b/>
          <w:bCs/>
          <w:color w:val="00B050"/>
          <w:sz w:val="30"/>
          <w:szCs w:val="30"/>
        </w:rPr>
        <w:t>March 2025</w:t>
      </w:r>
    </w:p>
    <w:p w14:paraId="07B6349A" w14:textId="77777777" w:rsidR="00510CCB" w:rsidRDefault="00510CCB"/>
    <w:p w14:paraId="129848BD" w14:textId="77777777" w:rsidR="002C08A4" w:rsidRPr="002C08A4" w:rsidRDefault="002C08A4" w:rsidP="002C08A4">
      <w:r w:rsidRPr="002C08A4">
        <w:rPr>
          <w:b/>
          <w:bCs/>
        </w:rPr>
        <w:t>ACUTE AND CHRONIC KIDNEY DISEASE</w:t>
      </w:r>
    </w:p>
    <w:p w14:paraId="772B3E05" w14:textId="77777777" w:rsidR="002C08A4" w:rsidRPr="002C08A4" w:rsidRDefault="002C08A4" w:rsidP="002C08A4">
      <w:r w:rsidRPr="002C08A4">
        <w:rPr>
          <w:b/>
          <w:bCs/>
        </w:rPr>
        <w:t>Long-term effects of empagliflozin in patients with chronic kidney disease (March 2025)</w:t>
      </w:r>
    </w:p>
    <w:p w14:paraId="50F72AF8" w14:textId="77777777" w:rsidR="002C08A4" w:rsidRPr="002C08A4" w:rsidRDefault="002C08A4" w:rsidP="002C08A4">
      <w:r w:rsidRPr="002C08A4">
        <w:t>Sodium-glucose cotransporter 2 (SGLT2) inhibitors have been shown to reduce the risk of kidney and cardiovascular events in randomized trials of two to three years' duration, but longer-term outcome data are lacking. After two years of randomized therapy in the Study of Heart and Kidney Protection with </w:t>
      </w:r>
      <w:hyperlink r:id="rId4" w:history="1">
        <w:r w:rsidRPr="002C08A4">
          <w:rPr>
            <w:rStyle w:val="Hyperlink"/>
          </w:rPr>
          <w:t>Empagliflozin</w:t>
        </w:r>
      </w:hyperlink>
      <w:r w:rsidRPr="002C08A4">
        <w:t> (EMPA-KIDNEY) trial, participants in both treatment groups were entered into an open-label post-trial follow-up for an additional two years, during which time SGLT2 inhibitors could be prescribed at the discretion of the patients' clinicians [</w:t>
      </w:r>
      <w:hyperlink r:id="rId5" w:history="1">
        <w:r w:rsidRPr="002C08A4">
          <w:rPr>
            <w:rStyle w:val="Hyperlink"/>
          </w:rPr>
          <w:t>1</w:t>
        </w:r>
      </w:hyperlink>
      <w:r w:rsidRPr="002C08A4">
        <w:t>]. The benefits of empagliflozin observed during the full four years of follow-up were similar to those noted during the initial two-year randomization period; effects were similar in patients with and without diabetes, with various levels of baseline albuminuria, and regardless of the estimated glomerular filtration rate (eGFR) at the start of the study. SGLT2 inhibitors provide long-term benefits in patients with chronic kidney disease and albuminuria. (See </w:t>
      </w:r>
      <w:hyperlink r:id="rId6" w:anchor="H1679627661" w:history="1">
        <w:r w:rsidRPr="002C08A4">
          <w:rPr>
            <w:rStyle w:val="Hyperlink"/>
          </w:rPr>
          <w:t>"Overview of the management of chronic kidney disease in adults", section on 'Patients with albuminuria'</w:t>
        </w:r>
      </w:hyperlink>
      <w:r w:rsidRPr="002C08A4">
        <w:t>.)</w:t>
      </w:r>
    </w:p>
    <w:p w14:paraId="721949B9" w14:textId="77777777" w:rsidR="002C08A4" w:rsidRPr="002C08A4" w:rsidRDefault="002C08A4" w:rsidP="002C08A4">
      <w:r w:rsidRPr="002C08A4">
        <w:rPr>
          <w:b/>
          <w:bCs/>
        </w:rPr>
        <w:t>DIALYSIS</w:t>
      </w:r>
    </w:p>
    <w:p w14:paraId="4F2E4381" w14:textId="77777777" w:rsidR="002C08A4" w:rsidRPr="002C08A4" w:rsidRDefault="002C08A4" w:rsidP="002C08A4">
      <w:r w:rsidRPr="002C08A4">
        <w:rPr>
          <w:b/>
          <w:bCs/>
        </w:rPr>
        <w:t>Using medium cutoff dialyzers to preserve residual kidney function (March 2025)</w:t>
      </w:r>
    </w:p>
    <w:p w14:paraId="3CE08B19" w14:textId="77777777" w:rsidR="002C08A4" w:rsidRPr="002C08A4" w:rsidRDefault="002C08A4" w:rsidP="002C08A4">
      <w:r w:rsidRPr="002C08A4">
        <w:t>By improving middle molecule clearance in patients on hemodialysis, medium cutoff (MCO) dialyzers may help preserve residual kidney function, which is associated with improved survival, better volume control, and higher health-related quality of life. In a 12-month trial in which 80 patients new to kidney replacement therapy were randomly assigned to hemodialysis with a MCO dialyzer or a conventional high-flux dialyzer, the decrease in glomerular filtration rate (calculated as the mean of 24-hour urine creatinine and urea clearance) was less in the MCO group (-1.0 versus -2.4 mL/min/1.73 m</w:t>
      </w:r>
      <w:r w:rsidRPr="002C08A4">
        <w:rPr>
          <w:vertAlign w:val="superscript"/>
        </w:rPr>
        <w:t>2</w:t>
      </w:r>
      <w:r w:rsidRPr="002C08A4">
        <w:t>) [</w:t>
      </w:r>
      <w:hyperlink r:id="rId7" w:history="1">
        <w:r w:rsidRPr="002C08A4">
          <w:rPr>
            <w:rStyle w:val="Hyperlink"/>
          </w:rPr>
          <w:t>5</w:t>
        </w:r>
      </w:hyperlink>
      <w:r w:rsidRPr="002C08A4">
        <w:t>]. In addition, patients in the MCO group had higher urine volumes at 9, though not 12, months, as well as greater dialysis-mediated reductions in a variety of inflammatory and kidney injury biomarkers. Additional studies are needed to validate these promising results and to examine the effect of MCO dialyzers on patient-centered outcomes. (See </w:t>
      </w:r>
      <w:hyperlink r:id="rId8" w:anchor="H1147023157" w:history="1">
        <w:r w:rsidRPr="002C08A4">
          <w:rPr>
            <w:rStyle w:val="Hyperlink"/>
          </w:rPr>
          <w:t>"Residual kidney function in kidney failure", section on 'Hemodialysis'</w:t>
        </w:r>
      </w:hyperlink>
      <w:r w:rsidRPr="002C08A4">
        <w:t>.)</w:t>
      </w:r>
    </w:p>
    <w:p w14:paraId="060D0FC8" w14:textId="77777777" w:rsidR="002C08A4" w:rsidRPr="002C08A4" w:rsidRDefault="002C08A4" w:rsidP="002C08A4">
      <w:r w:rsidRPr="002C08A4">
        <w:rPr>
          <w:b/>
          <w:bCs/>
        </w:rPr>
        <w:t>FLUID, ELECTROLYTES, AND ACID-BASE BALANCE</w:t>
      </w:r>
    </w:p>
    <w:p w14:paraId="3E231F0F" w14:textId="77777777" w:rsidR="002C08A4" w:rsidRPr="002C08A4" w:rsidRDefault="002C08A4" w:rsidP="002C08A4">
      <w:r w:rsidRPr="002C08A4">
        <w:rPr>
          <w:b/>
          <w:bCs/>
        </w:rPr>
        <w:t>Albumin-adjusted calcium formulas do not always correlate with ionized calcium (March 2025)</w:t>
      </w:r>
    </w:p>
    <w:p w14:paraId="646B4D27" w14:textId="77777777" w:rsidR="002C08A4" w:rsidRPr="002C08A4" w:rsidRDefault="002C08A4" w:rsidP="002C08A4">
      <w:r w:rsidRPr="002C08A4">
        <w:lastRenderedPageBreak/>
        <w:t xml:space="preserve">Albumin-adjusted calcium formulas are often used when albumin is abnormal, but none appears to be universally acceptable when examined for its correlation with ionized calcium. In a new cross-sectional study that included 17,546 patients who had simultaneous testing of albumin, total calcium, and ionized calcium, very few (≤0.3 percent) patients with an albumin &lt;3 g/dL and hypercalcemia by ionized calcium were misclassified as </w:t>
      </w:r>
      <w:proofErr w:type="spellStart"/>
      <w:r w:rsidRPr="002C08A4">
        <w:t>normocalcemic</w:t>
      </w:r>
      <w:proofErr w:type="spellEnd"/>
      <w:r w:rsidRPr="002C08A4">
        <w:t xml:space="preserve"> by a commonly used calcium correction formula [</w:t>
      </w:r>
      <w:hyperlink r:id="rId9" w:history="1">
        <w:r w:rsidRPr="002C08A4">
          <w:rPr>
            <w:rStyle w:val="Hyperlink"/>
          </w:rPr>
          <w:t>8</w:t>
        </w:r>
      </w:hyperlink>
      <w:r w:rsidRPr="002C08A4">
        <w:t xml:space="preserve">]. However, 6.8 percent of patients classified as </w:t>
      </w:r>
      <w:proofErr w:type="spellStart"/>
      <w:r w:rsidRPr="002C08A4">
        <w:t>normocalcemic</w:t>
      </w:r>
      <w:proofErr w:type="spellEnd"/>
      <w:r w:rsidRPr="002C08A4">
        <w:t xml:space="preserve"> by ionized calcium were misclassified as hypercalcemic using the correction formula, and 44 percent of patients with hypocalcemia by ionized calcium were misclassified as </w:t>
      </w:r>
      <w:proofErr w:type="spellStart"/>
      <w:r w:rsidRPr="002C08A4">
        <w:t>normocalcemic</w:t>
      </w:r>
      <w:proofErr w:type="spellEnd"/>
      <w:r w:rsidRPr="002C08A4">
        <w:t>. If a laboratory known to measure ionized calcium reliably is not available, the total calcium may be corrected for any abnormalities in albumin, but the accuracy of the estimate may be poor in a variety of populations. (See </w:t>
      </w:r>
      <w:hyperlink r:id="rId10" w:anchor="H2" w:history="1">
        <w:r w:rsidRPr="002C08A4">
          <w:rPr>
            <w:rStyle w:val="Hyperlink"/>
          </w:rPr>
          <w:t>"Diagnostic approach to hypercalcemia", section on 'Verify elevated calcium'</w:t>
        </w:r>
      </w:hyperlink>
      <w:r w:rsidRPr="002C08A4">
        <w:t> and </w:t>
      </w:r>
      <w:hyperlink r:id="rId11" w:history="1">
        <w:r w:rsidRPr="002C08A4">
          <w:rPr>
            <w:rStyle w:val="Hyperlink"/>
          </w:rPr>
          <w:t>"Relation between total and ionized serum calcium concentrations"</w:t>
        </w:r>
      </w:hyperlink>
      <w:r w:rsidRPr="002C08A4">
        <w:t>.)</w:t>
      </w:r>
    </w:p>
    <w:p w14:paraId="361E4C75" w14:textId="77777777" w:rsidR="008F38F5" w:rsidRPr="008F38F5" w:rsidRDefault="008F38F5" w:rsidP="008F38F5">
      <w:r w:rsidRPr="008F38F5">
        <w:rPr>
          <w:b/>
          <w:bCs/>
        </w:rPr>
        <w:t>HYPERTENSION</w:t>
      </w:r>
    </w:p>
    <w:p w14:paraId="43680443" w14:textId="77777777" w:rsidR="008F38F5" w:rsidRPr="008F38F5" w:rsidRDefault="008F38F5" w:rsidP="008F38F5">
      <w:r w:rsidRPr="008F38F5">
        <w:rPr>
          <w:b/>
          <w:bCs/>
        </w:rPr>
        <w:t>Blood pressure measurement using a cuffless blood pressure device (March 2025)</w:t>
      </w:r>
    </w:p>
    <w:p w14:paraId="08785D6D" w14:textId="77777777" w:rsidR="008F38F5" w:rsidRPr="008F38F5" w:rsidRDefault="008F38F5" w:rsidP="008F38F5">
      <w:r w:rsidRPr="008F38F5">
        <w:t>The diagnosis and management of hypertension is based on standardized blood pressure (BP) measurement using cuff-based BP monitors, but studies are evaluating the accuracy of cuffless devices that estimate BP indirectly through measurements of photoplethysmography, pulse wave analysis, and other techniques. In a single-center observational study of 51 patients, the seven-day average daytime systolic BP obtained from the cuffless monitor was similar to that obtained by 24-hour ambulatory blood pressure monitoring (ABPM) [</w:t>
      </w:r>
      <w:hyperlink r:id="rId12" w:history="1">
        <w:r w:rsidRPr="008F38F5">
          <w:rPr>
            <w:rStyle w:val="Hyperlink"/>
          </w:rPr>
          <w:t>15</w:t>
        </w:r>
      </w:hyperlink>
      <w:r w:rsidRPr="008F38F5">
        <w:t>]. However, the cuffless BP device consistently reported higher nocturnal systolic and diastolic BP compared with ABPM (mean difference 12.5 mmHg and 4.1 mmHg, respectively). Further validation and specific implementation guidelines are needed before cuffless devices can be recommended for clinical use. (See </w:t>
      </w:r>
      <w:hyperlink r:id="rId13" w:anchor="H2025595053" w:history="1">
        <w:r w:rsidRPr="008F38F5">
          <w:rPr>
            <w:rStyle w:val="Hyperlink"/>
          </w:rPr>
          <w:t>"Hypertension in adults: Blood pressure measurement and diagnosis", section on 'Cuffless blood pressure monitors'</w:t>
        </w:r>
      </w:hyperlink>
      <w:r w:rsidRPr="008F38F5">
        <w:t>.)</w:t>
      </w:r>
    </w:p>
    <w:p w14:paraId="4F9320ED" w14:textId="77777777" w:rsidR="002C08A4" w:rsidRDefault="002C08A4"/>
    <w:sectPr w:rsidR="002C08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8A4"/>
    <w:rsid w:val="000B1565"/>
    <w:rsid w:val="001A67CD"/>
    <w:rsid w:val="002C08A4"/>
    <w:rsid w:val="00313F44"/>
    <w:rsid w:val="004B5628"/>
    <w:rsid w:val="00510CCB"/>
    <w:rsid w:val="008D0060"/>
    <w:rsid w:val="008F38F5"/>
    <w:rsid w:val="00E577A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AF813"/>
  <w15:chartTrackingRefBased/>
  <w15:docId w15:val="{58FD7559-B817-48F1-A52C-9B0D33C09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08A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08A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08A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08A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08A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08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08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08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08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08A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08A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08A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08A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08A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08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08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08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08A4"/>
    <w:rPr>
      <w:rFonts w:eastAsiaTheme="majorEastAsia" w:cstheme="majorBidi"/>
      <w:color w:val="272727" w:themeColor="text1" w:themeTint="D8"/>
    </w:rPr>
  </w:style>
  <w:style w:type="paragraph" w:styleId="Title">
    <w:name w:val="Title"/>
    <w:basedOn w:val="Normal"/>
    <w:next w:val="Normal"/>
    <w:link w:val="TitleChar"/>
    <w:uiPriority w:val="10"/>
    <w:qFormat/>
    <w:rsid w:val="002C08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08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08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08A4"/>
    <w:pPr>
      <w:spacing w:before="160"/>
      <w:jc w:val="center"/>
    </w:pPr>
    <w:rPr>
      <w:i/>
      <w:iCs/>
      <w:color w:val="404040" w:themeColor="text1" w:themeTint="BF"/>
    </w:rPr>
  </w:style>
  <w:style w:type="character" w:customStyle="1" w:styleId="QuoteChar">
    <w:name w:val="Quote Char"/>
    <w:basedOn w:val="DefaultParagraphFont"/>
    <w:link w:val="Quote"/>
    <w:uiPriority w:val="29"/>
    <w:rsid w:val="002C08A4"/>
    <w:rPr>
      <w:i/>
      <w:iCs/>
      <w:color w:val="404040" w:themeColor="text1" w:themeTint="BF"/>
    </w:rPr>
  </w:style>
  <w:style w:type="paragraph" w:styleId="ListParagraph">
    <w:name w:val="List Paragraph"/>
    <w:basedOn w:val="Normal"/>
    <w:uiPriority w:val="34"/>
    <w:qFormat/>
    <w:rsid w:val="002C08A4"/>
    <w:pPr>
      <w:ind w:left="720"/>
      <w:contextualSpacing/>
    </w:pPr>
  </w:style>
  <w:style w:type="character" w:styleId="IntenseEmphasis">
    <w:name w:val="Intense Emphasis"/>
    <w:basedOn w:val="DefaultParagraphFont"/>
    <w:uiPriority w:val="21"/>
    <w:qFormat/>
    <w:rsid w:val="002C08A4"/>
    <w:rPr>
      <w:i/>
      <w:iCs/>
      <w:color w:val="2F5496" w:themeColor="accent1" w:themeShade="BF"/>
    </w:rPr>
  </w:style>
  <w:style w:type="paragraph" w:styleId="IntenseQuote">
    <w:name w:val="Intense Quote"/>
    <w:basedOn w:val="Normal"/>
    <w:next w:val="Normal"/>
    <w:link w:val="IntenseQuoteChar"/>
    <w:uiPriority w:val="30"/>
    <w:qFormat/>
    <w:rsid w:val="002C08A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08A4"/>
    <w:rPr>
      <w:i/>
      <w:iCs/>
      <w:color w:val="2F5496" w:themeColor="accent1" w:themeShade="BF"/>
    </w:rPr>
  </w:style>
  <w:style w:type="character" w:styleId="IntenseReference">
    <w:name w:val="Intense Reference"/>
    <w:basedOn w:val="DefaultParagraphFont"/>
    <w:uiPriority w:val="32"/>
    <w:qFormat/>
    <w:rsid w:val="002C08A4"/>
    <w:rPr>
      <w:b/>
      <w:bCs/>
      <w:smallCaps/>
      <w:color w:val="2F5496" w:themeColor="accent1" w:themeShade="BF"/>
      <w:spacing w:val="5"/>
    </w:rPr>
  </w:style>
  <w:style w:type="character" w:styleId="Hyperlink">
    <w:name w:val="Hyperlink"/>
    <w:basedOn w:val="DefaultParagraphFont"/>
    <w:uiPriority w:val="99"/>
    <w:unhideWhenUsed/>
    <w:rsid w:val="002C08A4"/>
    <w:rPr>
      <w:color w:val="0563C1" w:themeColor="hyperlink"/>
      <w:u w:val="single"/>
    </w:rPr>
  </w:style>
  <w:style w:type="character" w:styleId="UnresolvedMention">
    <w:name w:val="Unresolved Mention"/>
    <w:basedOn w:val="DefaultParagraphFont"/>
    <w:uiPriority w:val="99"/>
    <w:semiHidden/>
    <w:unhideWhenUsed/>
    <w:rsid w:val="002C08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84617">
      <w:bodyDiv w:val="1"/>
      <w:marLeft w:val="0"/>
      <w:marRight w:val="0"/>
      <w:marTop w:val="0"/>
      <w:marBottom w:val="0"/>
      <w:divBdr>
        <w:top w:val="none" w:sz="0" w:space="0" w:color="auto"/>
        <w:left w:val="none" w:sz="0" w:space="0" w:color="auto"/>
        <w:bottom w:val="none" w:sz="0" w:space="0" w:color="auto"/>
        <w:right w:val="none" w:sz="0" w:space="0" w:color="auto"/>
      </w:divBdr>
    </w:div>
    <w:div w:id="712854316">
      <w:bodyDiv w:val="1"/>
      <w:marLeft w:val="0"/>
      <w:marRight w:val="0"/>
      <w:marTop w:val="0"/>
      <w:marBottom w:val="0"/>
      <w:divBdr>
        <w:top w:val="none" w:sz="0" w:space="0" w:color="auto"/>
        <w:left w:val="none" w:sz="0" w:space="0" w:color="auto"/>
        <w:bottom w:val="none" w:sz="0" w:space="0" w:color="auto"/>
        <w:right w:val="none" w:sz="0" w:space="0" w:color="auto"/>
      </w:divBdr>
    </w:div>
    <w:div w:id="995455133">
      <w:bodyDiv w:val="1"/>
      <w:marLeft w:val="0"/>
      <w:marRight w:val="0"/>
      <w:marTop w:val="0"/>
      <w:marBottom w:val="0"/>
      <w:divBdr>
        <w:top w:val="none" w:sz="0" w:space="0" w:color="auto"/>
        <w:left w:val="none" w:sz="0" w:space="0" w:color="auto"/>
        <w:bottom w:val="none" w:sz="0" w:space="0" w:color="auto"/>
        <w:right w:val="none" w:sz="0" w:space="0" w:color="auto"/>
      </w:divBdr>
    </w:div>
    <w:div w:id="1012954503">
      <w:bodyDiv w:val="1"/>
      <w:marLeft w:val="0"/>
      <w:marRight w:val="0"/>
      <w:marTop w:val="0"/>
      <w:marBottom w:val="0"/>
      <w:divBdr>
        <w:top w:val="none" w:sz="0" w:space="0" w:color="auto"/>
        <w:left w:val="none" w:sz="0" w:space="0" w:color="auto"/>
        <w:bottom w:val="none" w:sz="0" w:space="0" w:color="auto"/>
        <w:right w:val="none" w:sz="0" w:space="0" w:color="auto"/>
      </w:divBdr>
    </w:div>
    <w:div w:id="1174370295">
      <w:bodyDiv w:val="1"/>
      <w:marLeft w:val="0"/>
      <w:marRight w:val="0"/>
      <w:marTop w:val="0"/>
      <w:marBottom w:val="0"/>
      <w:divBdr>
        <w:top w:val="none" w:sz="0" w:space="0" w:color="auto"/>
        <w:left w:val="none" w:sz="0" w:space="0" w:color="auto"/>
        <w:bottom w:val="none" w:sz="0" w:space="0" w:color="auto"/>
        <w:right w:val="none" w:sz="0" w:space="0" w:color="auto"/>
      </w:divBdr>
    </w:div>
    <w:div w:id="1784109731">
      <w:bodyDiv w:val="1"/>
      <w:marLeft w:val="0"/>
      <w:marRight w:val="0"/>
      <w:marTop w:val="0"/>
      <w:marBottom w:val="0"/>
      <w:divBdr>
        <w:top w:val="none" w:sz="0" w:space="0" w:color="auto"/>
        <w:left w:val="none" w:sz="0" w:space="0" w:color="auto"/>
        <w:bottom w:val="none" w:sz="0" w:space="0" w:color="auto"/>
        <w:right w:val="none" w:sz="0" w:space="0" w:color="auto"/>
      </w:divBdr>
    </w:div>
    <w:div w:id="2133328299">
      <w:bodyDiv w:val="1"/>
      <w:marLeft w:val="0"/>
      <w:marRight w:val="0"/>
      <w:marTop w:val="0"/>
      <w:marBottom w:val="0"/>
      <w:divBdr>
        <w:top w:val="none" w:sz="0" w:space="0" w:color="auto"/>
        <w:left w:val="none" w:sz="0" w:space="0" w:color="auto"/>
        <w:bottom w:val="none" w:sz="0" w:space="0" w:color="auto"/>
        <w:right w:val="none" w:sz="0" w:space="0" w:color="auto"/>
      </w:divBdr>
    </w:div>
    <w:div w:id="214068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residual-kidney-function-in-kidney-failure?sectionName=Hemodialysis&amp;topicRef=8352&amp;anchor=H1147023157&amp;source=see_link" TargetMode="External"/><Relationship Id="rId13" Type="http://schemas.openxmlformats.org/officeDocument/2006/relationships/hyperlink" Target="https://www4.utdos.ir/contents/hypertension-in-adults-blood-pressure-measurement-and-diagnosis?sectionName=Cuffless%20blood%20pressure%20monitors&amp;topicRef=8352&amp;anchor=H2025595053&amp;source=see_link" TargetMode="External"/><Relationship Id="rId3" Type="http://schemas.openxmlformats.org/officeDocument/2006/relationships/webSettings" Target="webSettings.xml"/><Relationship Id="rId7" Type="http://schemas.openxmlformats.org/officeDocument/2006/relationships/hyperlink" Target="https://www4.utdos.ir/contents/whats-new-in-nephrology-and-hypertension/abstract/5" TargetMode="External"/><Relationship Id="rId12" Type="http://schemas.openxmlformats.org/officeDocument/2006/relationships/hyperlink" Target="https://www4.utdos.ir/contents/whats-new-in-nephrology-and-hypertension/abstract/1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4.utdos.ir/contents/overview-of-the-management-of-chronic-kidney-disease-in-adults?sectionName=Patients%20with%20albuminuria&amp;topicRef=8352&amp;anchor=H1679627661&amp;source=see_link" TargetMode="External"/><Relationship Id="rId11" Type="http://schemas.openxmlformats.org/officeDocument/2006/relationships/hyperlink" Target="https://www4.utdos.ir/contents/relation-between-total-and-ionized-serum-calcium-concentrations?topicRef=8352&amp;source=see_link" TargetMode="External"/><Relationship Id="rId5" Type="http://schemas.openxmlformats.org/officeDocument/2006/relationships/hyperlink" Target="https://www4.utdos.ir/contents/whats-new-in-nephrology-and-hypertension/abstract/1" TargetMode="External"/><Relationship Id="rId15" Type="http://schemas.openxmlformats.org/officeDocument/2006/relationships/theme" Target="theme/theme1.xml"/><Relationship Id="rId10" Type="http://schemas.openxmlformats.org/officeDocument/2006/relationships/hyperlink" Target="https://www4.utdos.ir/contents/diagnostic-approach-to-hypercalcemia?sectionName=VERIFY%20ELEVATED%20CALCIUM&amp;topicRef=8352&amp;anchor=H2&amp;source=see_link" TargetMode="External"/><Relationship Id="rId4" Type="http://schemas.openxmlformats.org/officeDocument/2006/relationships/hyperlink" Target="https://www4.utdos.ir/contents/empagliflozin-drug-information?topicRef=8352&amp;source=see_link" TargetMode="External"/><Relationship Id="rId9" Type="http://schemas.openxmlformats.org/officeDocument/2006/relationships/hyperlink" Target="https://www4.utdos.ir/contents/whats-new-in-nephrology-and-hypertension/abstract/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2025-03-30T06:31:00Z</dcterms:created>
  <dcterms:modified xsi:type="dcterms:W3CDTF">2025-03-30T06:33:00Z</dcterms:modified>
</cp:coreProperties>
</file>